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07" w:lineRule="auto"/>
        <w:rPr>
          <w:rFonts w:ascii="Arial"/>
          <w:sz w:val="21"/>
        </w:rPr>
      </w:pPr>
      <w:r/>
    </w:p>
    <w:p>
      <w:pPr>
        <w:spacing w:line="308" w:lineRule="auto"/>
        <w:rPr>
          <w:rFonts w:ascii="Arial"/>
          <w:sz w:val="21"/>
        </w:rPr>
      </w:pPr>
      <w:r/>
    </w:p>
    <w:p>
      <w:pPr>
        <w:spacing w:line="308" w:lineRule="auto"/>
        <w:rPr>
          <w:rFonts w:ascii="Arial"/>
          <w:sz w:val="21"/>
        </w:rPr>
      </w:pPr>
      <w:r/>
    </w:p>
    <w:p>
      <w:pPr>
        <w:ind w:left="1386"/>
        <w:spacing w:before="151" w:line="202" w:lineRule="auto"/>
        <w:outlineLvl w:val="0"/>
        <w:rPr>
          <w:rFonts w:ascii="FZXiaoBiaoSong-B05S" w:hAnsi="FZXiaoBiaoSong-B05S" w:eastAsia="FZXiaoBiaoSong-B05S" w:cs="FZXiaoBiaoSong-B05S"/>
          <w:sz w:val="39"/>
          <w:szCs w:val="39"/>
        </w:rPr>
      </w:pPr>
      <w:r>
        <w:rPr>
          <w:rFonts w:ascii="FZXiaoBiaoSong-B05S" w:hAnsi="FZXiaoBiaoSong-B05S" w:eastAsia="FZXiaoBiaoSong-B05S" w:cs="FZXiaoBiaoSong-B05S"/>
          <w:sz w:val="39"/>
          <w:szCs w:val="39"/>
          <w:spacing w:val="3"/>
        </w:rPr>
        <w:t>中央生态环境保护督察群众信访举报转办和</w:t>
      </w:r>
      <w:r>
        <w:rPr>
          <w:rFonts w:ascii="FZXiaoBiaoSong-B05S" w:hAnsi="FZXiaoBiaoSong-B05S" w:eastAsia="FZXiaoBiaoSong-B05S" w:cs="FZXiaoBiaoSong-B05S"/>
          <w:sz w:val="39"/>
          <w:szCs w:val="39"/>
          <w:spacing w:val="2"/>
        </w:rPr>
        <w:t>边督边改公开情况一览表</w:t>
      </w:r>
    </w:p>
    <w:p>
      <w:pPr>
        <w:ind w:left="6781"/>
        <w:spacing w:line="221" w:lineRule="auto"/>
        <w:outlineLvl w:val="0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1"/>
        </w:rPr>
        <w:t>（第1批）</w:t>
      </w:r>
    </w:p>
    <w:p>
      <w:pPr>
        <w:spacing w:line="169" w:lineRule="exact"/>
        <w:rPr/>
      </w:pPr>
      <w:r/>
    </w:p>
    <w:tbl>
      <w:tblPr>
        <w:tblStyle w:val="TableNormal"/>
        <w:tblW w:w="14495" w:type="dxa"/>
        <w:tblInd w:w="10" w:type="dxa"/>
        <w:tblLayout w:type="fixed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</w:tblPr>
      <w:tblGrid>
        <w:gridCol w:w="544"/>
        <w:gridCol w:w="1035"/>
        <w:gridCol w:w="1469"/>
        <w:gridCol w:w="882"/>
        <w:gridCol w:w="1134"/>
        <w:gridCol w:w="988"/>
        <w:gridCol w:w="1742"/>
        <w:gridCol w:w="616"/>
        <w:gridCol w:w="1397"/>
        <w:gridCol w:w="2294"/>
        <w:gridCol w:w="1222"/>
        <w:gridCol w:w="1172"/>
      </w:tblGrid>
      <w:tr>
        <w:trPr>
          <w:trHeight w:val="755" w:hRule="atLeast"/>
        </w:trPr>
        <w:tc>
          <w:tcPr>
            <w:tcW w:w="544" w:type="dxa"/>
            <w:vAlign w:val="top"/>
          </w:tcPr>
          <w:p>
            <w:pPr>
              <w:ind w:left="77"/>
              <w:spacing w:before="294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序号</w:t>
            </w:r>
          </w:p>
        </w:tc>
        <w:tc>
          <w:tcPr>
            <w:tcW w:w="1035" w:type="dxa"/>
            <w:vAlign w:val="top"/>
          </w:tcPr>
          <w:p>
            <w:pPr>
              <w:ind w:left="129"/>
              <w:spacing w:before="294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受理编号</w:t>
            </w:r>
          </w:p>
        </w:tc>
        <w:tc>
          <w:tcPr>
            <w:tcW w:w="1469" w:type="dxa"/>
            <w:vAlign w:val="top"/>
          </w:tcPr>
          <w:p>
            <w:pPr>
              <w:ind w:left="343" w:right="326" w:firstLine="3"/>
              <w:spacing w:before="176" w:line="23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交办问题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基本情况</w:t>
            </w:r>
          </w:p>
        </w:tc>
        <w:tc>
          <w:tcPr>
            <w:tcW w:w="882" w:type="dxa"/>
            <w:vAlign w:val="top"/>
          </w:tcPr>
          <w:p>
            <w:pPr>
              <w:ind w:left="53"/>
              <w:spacing w:before="293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行政区域</w:t>
            </w:r>
          </w:p>
        </w:tc>
        <w:tc>
          <w:tcPr>
            <w:tcW w:w="1134" w:type="dxa"/>
            <w:vAlign w:val="top"/>
          </w:tcPr>
          <w:p>
            <w:pPr>
              <w:ind w:left="200"/>
              <w:spacing w:before="294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问题类型</w:t>
            </w:r>
          </w:p>
        </w:tc>
        <w:tc>
          <w:tcPr>
            <w:tcW w:w="988" w:type="dxa"/>
            <w:vAlign w:val="top"/>
          </w:tcPr>
          <w:p>
            <w:pPr>
              <w:ind w:left="109"/>
              <w:spacing w:before="294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污染类型</w:t>
            </w:r>
          </w:p>
        </w:tc>
        <w:tc>
          <w:tcPr>
            <w:tcW w:w="1742" w:type="dxa"/>
            <w:vAlign w:val="top"/>
          </w:tcPr>
          <w:p>
            <w:pPr>
              <w:ind w:left="290"/>
              <w:spacing w:before="293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调查核实情况</w:t>
            </w:r>
          </w:p>
        </w:tc>
        <w:tc>
          <w:tcPr>
            <w:tcW w:w="616" w:type="dxa"/>
            <w:vAlign w:val="top"/>
          </w:tcPr>
          <w:p>
            <w:pPr>
              <w:ind w:left="122" w:right="89" w:firstLine="1"/>
              <w:spacing w:before="177" w:line="23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是否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属实</w:t>
            </w:r>
          </w:p>
        </w:tc>
        <w:tc>
          <w:tcPr>
            <w:tcW w:w="1397" w:type="dxa"/>
            <w:vAlign w:val="top"/>
          </w:tcPr>
          <w:p>
            <w:pPr>
              <w:ind w:left="320"/>
              <w:spacing w:before="294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办结目标</w:t>
            </w:r>
          </w:p>
        </w:tc>
        <w:tc>
          <w:tcPr>
            <w:tcW w:w="2294" w:type="dxa"/>
            <w:vAlign w:val="top"/>
          </w:tcPr>
          <w:p>
            <w:pPr>
              <w:ind w:left="475"/>
              <w:spacing w:before="294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处理和整改情况</w:t>
            </w:r>
          </w:p>
        </w:tc>
        <w:tc>
          <w:tcPr>
            <w:tcW w:w="1222" w:type="dxa"/>
            <w:vAlign w:val="top"/>
          </w:tcPr>
          <w:p>
            <w:pPr>
              <w:ind w:left="237"/>
              <w:spacing w:before="294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是否办结</w:t>
            </w:r>
          </w:p>
        </w:tc>
        <w:tc>
          <w:tcPr>
            <w:tcW w:w="1172" w:type="dxa"/>
            <w:vAlign w:val="top"/>
          </w:tcPr>
          <w:p>
            <w:pPr>
              <w:ind w:left="209" w:right="167" w:firstLine="2"/>
              <w:spacing w:before="177" w:line="23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责任人被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处理情况</w:t>
            </w:r>
          </w:p>
        </w:tc>
      </w:tr>
      <w:tr>
        <w:trPr>
          <w:trHeight w:val="5681" w:hRule="atLeast"/>
        </w:trPr>
        <w:tc>
          <w:tcPr>
            <w:tcW w:w="544" w:type="dxa"/>
            <w:vAlign w:val="top"/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ind w:left="245"/>
              <w:spacing w:before="52" w:line="216" w:lineRule="exact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position w:val="1"/>
              </w:rPr>
              <w:t>1</w:t>
            </w:r>
          </w:p>
        </w:tc>
        <w:tc>
          <w:tcPr>
            <w:tcW w:w="1035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94"/>
              <w:spacing w:before="52" w:line="23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4"/>
              </w:rPr>
              <w:t>D3</w:t>
            </w:r>
            <w:r>
              <w:rPr>
                <w:rFonts w:ascii="SimSun" w:hAnsi="SimSun" w:eastAsia="SimSun" w:cs="SimSun"/>
                <w:sz w:val="16"/>
                <w:szCs w:val="16"/>
              </w:rPr>
              <w:t>HB</w:t>
            </w:r>
            <w:r>
              <w:rPr>
                <w:rFonts w:ascii="SimSun" w:hAnsi="SimSun" w:eastAsia="SimSun" w:cs="SimSun"/>
                <w:sz w:val="16"/>
                <w:szCs w:val="16"/>
                <w:spacing w:val="4"/>
              </w:rPr>
              <w:t>202511</w:t>
            </w:r>
          </w:p>
          <w:p>
            <w:pPr>
              <w:ind w:left="278"/>
              <w:spacing w:line="215" w:lineRule="exact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position w:val="1"/>
              </w:rPr>
              <w:t>170001</w:t>
            </w:r>
          </w:p>
        </w:tc>
        <w:tc>
          <w:tcPr>
            <w:tcW w:w="1469" w:type="dxa"/>
            <w:vAlign w:val="top"/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ind w:left="147" w:right="47" w:hanging="82"/>
              <w:spacing w:before="52" w:line="237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6"/>
              </w:rPr>
              <w:t>大厂栎鑫城乡建设</w:t>
            </w:r>
            <w:r>
              <w:rPr>
                <w:rFonts w:ascii="SimSun" w:hAnsi="SimSun" w:eastAsia="SimSun" w:cs="SimSun"/>
                <w:sz w:val="16"/>
                <w:szCs w:val="16"/>
                <w:spacing w:val="6"/>
              </w:rPr>
              <w:t>开发有限公司在</w:t>
            </w:r>
          </w:p>
          <w:p>
            <w:pPr>
              <w:ind w:left="193"/>
              <w:spacing w:line="228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4"/>
              </w:rPr>
              <w:t>2024年5月末至</w:t>
            </w:r>
          </w:p>
          <w:p>
            <w:pPr>
              <w:ind w:left="64" w:right="47" w:firstLine="1"/>
              <w:spacing w:before="5" w:line="237" w:lineRule="auto"/>
              <w:jc w:val="both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5"/>
              </w:rPr>
              <w:t>2025年1月4日在该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村东废弃窑坑内倾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倒大量建筑垃圾，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主要以工程泥浆为</w:t>
            </w:r>
            <w:r>
              <w:rPr>
                <w:rFonts w:ascii="SimSun" w:hAnsi="SimSun" w:eastAsia="SimSun" w:cs="SimSun"/>
                <w:sz w:val="16"/>
                <w:szCs w:val="16"/>
                <w:spacing w:val="6"/>
              </w:rPr>
              <w:t>主，无环评手续。</w:t>
            </w:r>
          </w:p>
        </w:tc>
        <w:tc>
          <w:tcPr>
            <w:tcW w:w="882" w:type="dxa"/>
            <w:vAlign w:val="top"/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ind w:left="192"/>
              <w:spacing w:before="52" w:line="229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5"/>
              </w:rPr>
              <w:t>大厂县</w:t>
            </w:r>
          </w:p>
        </w:tc>
        <w:tc>
          <w:tcPr>
            <w:tcW w:w="1134" w:type="dxa"/>
            <w:vAlign w:val="top"/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68"/>
              <w:spacing w:before="52" w:line="229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6"/>
              </w:rPr>
              <w:t>涉及公共利益</w:t>
            </w:r>
          </w:p>
          <w:p>
            <w:pPr>
              <w:ind w:left="80"/>
              <w:spacing w:before="5" w:line="229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4"/>
              </w:rPr>
              <w:t>的生态环境问</w:t>
            </w:r>
          </w:p>
          <w:p>
            <w:pPr>
              <w:ind w:left="486"/>
              <w:spacing w:before="7" w:line="231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1"/>
              </w:rPr>
              <w:t>题</w:t>
            </w:r>
          </w:p>
        </w:tc>
        <w:tc>
          <w:tcPr>
            <w:tcW w:w="988" w:type="dxa"/>
            <w:vAlign w:val="top"/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ind w:left="346"/>
              <w:spacing w:before="52" w:line="229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3"/>
              </w:rPr>
              <w:t>固废</w:t>
            </w:r>
          </w:p>
        </w:tc>
        <w:tc>
          <w:tcPr>
            <w:tcW w:w="1742" w:type="dxa"/>
            <w:vAlign w:val="top"/>
          </w:tcPr>
          <w:p>
            <w:pPr>
              <w:pStyle w:val="TableText"/>
              <w:spacing w:line="254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pStyle w:val="TableText"/>
              <w:spacing w:line="255" w:lineRule="auto"/>
              <w:rPr/>
            </w:pPr>
            <w:r/>
          </w:p>
          <w:p>
            <w:pPr>
              <w:ind w:left="29"/>
              <w:spacing w:before="52" w:line="22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6"/>
              </w:rPr>
              <w:t>经核查,窑坑回填的为</w:t>
            </w:r>
          </w:p>
          <w:p>
            <w:pPr>
              <w:ind w:left="27" w:right="20" w:firstLine="1"/>
              <w:spacing w:before="9" w:line="23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轨道交通工程施工期间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产生的工程渣土(开槽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土、盾构土)和部分工</w:t>
            </w:r>
            <w:r>
              <w:rPr>
                <w:rFonts w:ascii="SimSun" w:hAnsi="SimSun" w:eastAsia="SimSun" w:cs="SimSun"/>
                <w:sz w:val="16"/>
                <w:szCs w:val="16"/>
                <w:spacing w:val="2"/>
              </w:rPr>
              <w:t>程泥浆，</w:t>
            </w:r>
            <w:r>
              <w:rPr>
                <w:rFonts w:ascii="SimSun" w:hAnsi="SimSun" w:eastAsia="SimSun" w:cs="SimSun"/>
                <w:sz w:val="16"/>
                <w:szCs w:val="16"/>
                <w:spacing w:val="-27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2"/>
              </w:rPr>
              <w:t>目前已不再回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填。现场四周已设立围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挡，安装监控摄像头，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安排专人看护。窑坑内</w:t>
            </w:r>
          </w:p>
          <w:p>
            <w:pPr>
              <w:ind w:left="29" w:right="62"/>
              <w:spacing w:line="23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2"/>
              </w:rPr>
              <w:t>水量丰沛，水体清澈，</w:t>
            </w:r>
            <w:r>
              <w:rPr>
                <w:rFonts w:ascii="SimSun" w:hAnsi="SimSun" w:eastAsia="SimSun" w:cs="SimSun"/>
                <w:sz w:val="16"/>
                <w:szCs w:val="16"/>
                <w:spacing w:val="4"/>
              </w:rPr>
              <w:t>无异味。</w:t>
            </w:r>
          </w:p>
        </w:tc>
        <w:tc>
          <w:tcPr>
            <w:tcW w:w="616" w:type="dxa"/>
            <w:vAlign w:val="top"/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ind w:left="149"/>
              <w:spacing w:before="52" w:line="229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4"/>
              </w:rPr>
              <w:t>属实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59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37" w:right="2"/>
              <w:spacing w:before="52" w:line="237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依法依规按整改方</w:t>
            </w:r>
            <w:r>
              <w:rPr>
                <w:rFonts w:ascii="SimSun" w:hAnsi="SimSun" w:eastAsia="SimSun" w:cs="SimSun"/>
                <w:sz w:val="16"/>
                <w:szCs w:val="16"/>
                <w:spacing w:val="6"/>
              </w:rPr>
              <w:t>案完成项目整改。</w:t>
            </w:r>
          </w:p>
        </w:tc>
        <w:tc>
          <w:tcPr>
            <w:tcW w:w="2294" w:type="dxa"/>
            <w:vAlign w:val="top"/>
          </w:tcPr>
          <w:p>
            <w:pPr>
              <w:pStyle w:val="TableText"/>
              <w:spacing w:line="334" w:lineRule="auto"/>
              <w:rPr/>
            </w:pPr>
            <w:r/>
          </w:p>
          <w:p>
            <w:pPr>
              <w:pStyle w:val="TableText"/>
              <w:spacing w:line="335" w:lineRule="auto"/>
              <w:rPr/>
            </w:pPr>
            <w:r/>
          </w:p>
          <w:p>
            <w:pPr>
              <w:ind w:left="33" w:right="62" w:firstLine="3"/>
              <w:spacing w:before="52" w:line="235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一是根据《建筑垃圾处理技术</w:t>
            </w:r>
            <w:r>
              <w:rPr>
                <w:rFonts w:ascii="SimSun" w:hAnsi="SimSun" w:eastAsia="SimSun" w:cs="SimSun"/>
                <w:sz w:val="16"/>
                <w:szCs w:val="16"/>
                <w:spacing w:val="5"/>
              </w:rPr>
              <w:t>标准</w:t>
            </w:r>
            <w:r>
              <w:rPr>
                <w:rFonts w:ascii="SimSun" w:hAnsi="SimSun" w:eastAsia="SimSun" w:cs="SimSun"/>
                <w:sz w:val="16"/>
                <w:szCs w:val="16"/>
              </w:rPr>
              <w:t>XCJIT</w:t>
            </w:r>
            <w:r>
              <w:rPr>
                <w:rFonts w:ascii="SimSun" w:hAnsi="SimSun" w:eastAsia="SimSun" w:cs="SimSun"/>
                <w:sz w:val="16"/>
                <w:szCs w:val="16"/>
                <w:spacing w:val="5"/>
              </w:rPr>
              <w:t>134-2019)中3.0.6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规定:工程渣土、工程泥浆可</w:t>
            </w:r>
            <w:r>
              <w:rPr>
                <w:rFonts w:ascii="SimSun" w:hAnsi="SimSun" w:eastAsia="SimSun" w:cs="SimSun"/>
                <w:sz w:val="16"/>
                <w:szCs w:val="16"/>
                <w:spacing w:val="8"/>
              </w:rPr>
              <w:t>采取堆填方式进行处理。因</w:t>
            </w:r>
          </w:p>
          <w:p>
            <w:pPr>
              <w:ind w:left="33" w:right="62" w:firstLine="1"/>
              <w:spacing w:before="1" w:line="23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此，工程渣土和工程泥浆可用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于回填该窑坑。二是对栎鑫公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司未取得城市建筑垃圾处置核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准,擅自设立弃置场受纳建筑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垃圾行为,大厂县城市管理综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合行政执法局依据《城市建筑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垃圾管理规定》中第二十条第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(三)款，对栎鑫公司处罚款壹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万元整。三是该项目作为土地</w:t>
            </w:r>
            <w:r>
              <w:rPr>
                <w:rFonts w:ascii="SimSun" w:hAnsi="SimSun" w:eastAsia="SimSun" w:cs="SimSun"/>
                <w:sz w:val="16"/>
                <w:szCs w:val="16"/>
                <w:spacing w:val="5"/>
              </w:rPr>
              <w:t>整治(占补平衡)项目，依据《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建设项目环境影响评价分类管</w:t>
            </w:r>
            <w:r>
              <w:rPr>
                <w:rFonts w:ascii="SimSun" w:hAnsi="SimSun" w:eastAsia="SimSun" w:cs="SimSun"/>
                <w:sz w:val="16"/>
                <w:szCs w:val="16"/>
                <w:spacing w:val="3"/>
              </w:rPr>
              <w:t>理名录》</w:t>
            </w:r>
            <w:r>
              <w:rPr>
                <w:rFonts w:ascii="SimSun" w:hAnsi="SimSun" w:eastAsia="SimSun" w:cs="SimSun"/>
                <w:sz w:val="16"/>
                <w:szCs w:val="16"/>
                <w:spacing w:val="-31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3"/>
              </w:rPr>
              <w:t>(2021年版)第五条规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定,不纳入建设项目环境影响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评价管理,因此不予以办理环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评文件。四是启动问责机制，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因工作履职不到位，对相关人</w:t>
            </w:r>
            <w:r>
              <w:rPr>
                <w:rFonts w:ascii="SimSun" w:hAnsi="SimSun" w:eastAsia="SimSun" w:cs="SimSun"/>
                <w:sz w:val="16"/>
                <w:szCs w:val="16"/>
                <w:spacing w:val="6"/>
              </w:rPr>
              <w:t>员进行约谈，予以通报。</w:t>
            </w:r>
          </w:p>
        </w:tc>
        <w:tc>
          <w:tcPr>
            <w:tcW w:w="1222" w:type="dxa"/>
            <w:vAlign w:val="top"/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ind w:left="214"/>
              <w:spacing w:before="52" w:line="229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5"/>
              </w:rPr>
              <w:t>阶段性办结</w:t>
            </w:r>
          </w:p>
        </w:tc>
        <w:tc>
          <w:tcPr>
            <w:tcW w:w="1172" w:type="dxa"/>
            <w:vAlign w:val="top"/>
          </w:tcPr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5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ind w:left="429"/>
              <w:spacing w:before="52" w:line="229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4"/>
              </w:rPr>
              <w:t>通报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6837" w:h="11905"/>
      <w:pgMar w:top="1011" w:right="1251" w:bottom="0" w:left="107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ZXiaoBiaoSong-B05S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大厂-1</dc:creator>
  <dcterms:created xsi:type="dcterms:W3CDTF">2025-11-26T10:49:23Z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2025-11-28T16:54:37</vt:filetime>
  </property>
</Properties>
</file>